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2017 46 vom 18. April 2018</w:t>
      </w:r>
    </w:p>
    <w:p>
      <w:r>
        <w:t>SZ Gerichte, 2018-04-18, DE</w:t>
      </w:r>
    </w:p>
    <w:p>
      <w:r>
        <w:rPr>
          <w:b/>
        </w:rPr>
        <w:t xml:space="preserve">Quelle: </w:t>
      </w:r>
      <w:r>
        <w:t>https://mcp.opencaselaw.ch/entscheid/sz_gerichte_STK 2017 46</w:t>
      </w:r>
    </w:p>
    <w:p>
      <w:r>
        <w:t>FR: SZ_GERICHTE STK 2017 46 du 18 avril 2018</w:t>
      </w:r>
    </w:p>
    <w:p>
      <w:r>
        <w:t>IT: SZ_GERICHTE STK 2017 46 del 18 aprile 2018</w:t>
      </w:r>
    </w:p>
    <w:p>
      <w:pPr>
        <w:pStyle w:val="Heading2"/>
      </w:pPr>
      <w:r>
        <w:t>Regeste</w:t>
      </w:r>
    </w:p>
    <w:p>
      <w:r>
        <w:t>Raub etc.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Sicherheitsstützpunkt \n Biberbrugg, 8836 Bennau, Anklagebehörde und Berufungsgegnerin, vertreten durch a.o. Staatsanwalt C.________,</w:t>
      </w:r>
    </w:p>
    <w:p>
      <w:r>
        <w:rPr>
          <w:b/>
        </w:rPr>
        <w:t>E. 2</w:t>
      </w:r>
    </w:p>
    <w:p>
      <w:r>
        <w:t>D.________,</w:t>
      </w:r>
    </w:p>
    <w:p>
      <w:r>
        <w:rPr>
          <w:b/>
        </w:rPr>
        <w:t>E. 3</w:t>
      </w:r>
    </w:p>
    <w:p>
      <w:r>
        <w:t>E.________, Ziff. 2-3 Privatkläger(in) und Berufungsgegner(in), \n beide vertreten durch Rechtsanwalt F.________, \n \n \n \n \n \n \n \n betreffend \n Raub etc. \n \n \n \n (Berufung gegen das Urteil des Strafgerichts Schwyz vom 10. Februar 2017, SGO 2016 14);- \n \n hat die Strafkammer, \n \n nachdem sich ergeben: \n A. Am 2. Juni 2016 erhob die kantonale Staatsanwaltschaft beim Strafgericht des Kantons Schwyz Anklage gegen A.________ (Beschuldigter) wegen qualifizierten Raubes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